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34" w:rsidRPr="00B42B34" w:rsidRDefault="00B42B34" w:rsidP="00B42B34">
      <w:pPr>
        <w:jc w:val="center"/>
        <w:rPr>
          <w:rFonts w:ascii="Times New Roman" w:hAnsi="Times New Roman" w:cs="Times New Roman"/>
          <w:b/>
          <w:color w:val="500000"/>
          <w:sz w:val="22"/>
          <w:szCs w:val="22"/>
        </w:rPr>
      </w:pPr>
      <w:r w:rsidRPr="00B42B34">
        <w:rPr>
          <w:rFonts w:ascii="Times New Roman" w:hAnsi="Times New Roman" w:cs="Times New Roman"/>
          <w:b/>
          <w:color w:val="500000"/>
          <w:sz w:val="22"/>
          <w:szCs w:val="22"/>
        </w:rPr>
        <w:t>Appendix 1: Diving Medical Exam Overview For The Examining Physician</w:t>
      </w:r>
    </w:p>
    <w:p w:rsidR="00B42B34" w:rsidRPr="00B42B34" w:rsidRDefault="00B42B34" w:rsidP="00B42B34">
      <w:pPr>
        <w:rPr>
          <w:rFonts w:ascii="Times New Roman" w:hAnsi="Times New Roman" w:cs="Times New Roman"/>
          <w:b/>
          <w:color w:val="500000"/>
          <w:sz w:val="20"/>
          <w:szCs w:val="20"/>
        </w:rPr>
      </w:pPr>
    </w:p>
    <w:p w:rsidR="00B42B34" w:rsidRPr="00B42B34" w:rsidRDefault="00B42B34" w:rsidP="00B42B34">
      <w:pPr>
        <w:rPr>
          <w:rFonts w:ascii="Times New Roman" w:hAnsi="Times New Roman" w:cs="Times New Roman"/>
          <w:b/>
          <w:color w:val="000000"/>
          <w:sz w:val="20"/>
          <w:szCs w:val="20"/>
        </w:rPr>
      </w:pPr>
      <w:r w:rsidRPr="00B42B34">
        <w:rPr>
          <w:rFonts w:ascii="Times New Roman" w:hAnsi="Times New Roman" w:cs="Times New Roman"/>
          <w:b/>
          <w:color w:val="000000"/>
          <w:sz w:val="20"/>
          <w:szCs w:val="20"/>
        </w:rPr>
        <w:t>To The Examining Physician:</w:t>
      </w:r>
    </w:p>
    <w:p w:rsidR="00B42B34" w:rsidRPr="00B42B34" w:rsidRDefault="00B42B34" w:rsidP="00B42B34">
      <w:pPr>
        <w:rPr>
          <w:rFonts w:ascii="Times New Roman" w:hAnsi="Times New Roman" w:cs="Times New Roman"/>
          <w:b/>
          <w:color w:val="000000"/>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This person, _____________________, requires a medical examination to assess their fitness for certification as a Scientific Diver for </w:t>
      </w:r>
      <w:r w:rsidRPr="00B42B34">
        <w:rPr>
          <w:rFonts w:ascii="Times New Roman" w:hAnsi="Times New Roman" w:cs="Times New Roman"/>
          <w:b/>
          <w:color w:val="000000"/>
          <w:sz w:val="20"/>
          <w:szCs w:val="20"/>
        </w:rPr>
        <w:t>Texas A&amp;M University</w:t>
      </w:r>
      <w:r w:rsidRPr="00B42B34">
        <w:rPr>
          <w:rFonts w:ascii="Times New Roman" w:hAnsi="Times New Roman" w:cs="Times New Roman"/>
          <w:color w:val="565252"/>
          <w:sz w:val="20"/>
          <w:szCs w:val="20"/>
        </w:rPr>
        <w:t xml:space="preserve">. Their answers on the Diving Medical History Form (attached) may indicate potential health or safety risks as noted.  Your evaluation is requested on the attached scuba Diving Fitness Medical Evaluation Report.  If you have questions about diving medicine, you may wish to consult one of the references on the attached list or contact one of the physicians with expertise in diving medicine whose names and phone numbers appear on an attached list, the Undersea Hyperbaric and Medical Society, or the Divers Alert Network.  Please contact the undersigned Diving Safety Officer if you have any questions or concerns about diving medicine or the diving standards at </w:t>
      </w:r>
      <w:r w:rsidRPr="00B42B34">
        <w:rPr>
          <w:rFonts w:ascii="Times New Roman" w:hAnsi="Times New Roman" w:cs="Times New Roman"/>
          <w:b/>
          <w:color w:val="000000"/>
          <w:sz w:val="20"/>
          <w:szCs w:val="20"/>
        </w:rPr>
        <w:t>Texas A&amp;M University</w:t>
      </w:r>
      <w:r w:rsidRPr="00B42B34">
        <w:rPr>
          <w:rFonts w:ascii="Times New Roman" w:hAnsi="Times New Roman" w:cs="Times New Roman"/>
          <w:color w:val="565252"/>
          <w:sz w:val="20"/>
          <w:szCs w:val="20"/>
        </w:rPr>
        <w:t xml:space="preserve">.  Thank you for your assistance.       </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 xml:space="preserve">     </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______________________________________</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_____________________________</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ab/>
        <w:t>Diving Safety Officer</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 xml:space="preserve">         </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Date</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______________________________________</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_____________________________</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ab/>
        <w:t>Printed Name</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 xml:space="preserve">  </w:t>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r>
      <w:r w:rsidRPr="00B42B34">
        <w:rPr>
          <w:rFonts w:ascii="Times New Roman" w:hAnsi="Times New Roman" w:cs="Times New Roman"/>
          <w:color w:val="565252"/>
          <w:sz w:val="20"/>
          <w:szCs w:val="20"/>
        </w:rPr>
        <w:tab/>
        <w:t>Phone Number</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Scuba and other modes of compressed-gas diving can be strenuous and hazardous. A special risk is present if the middle ear, sinuses, or lung segments do not readily equalize air pressure changes. The most common cause of distress is eustachian insufficiency. Recent deaths in the scientific diving community have been attributed to cardiovascular disease. Please consult the following list of conditions that usually restrict candidates from diving (Adapted from Bove, 1998):</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b/>
          <w:color w:val="000000"/>
          <w:sz w:val="20"/>
          <w:szCs w:val="20"/>
        </w:rPr>
      </w:pPr>
      <w:r w:rsidRPr="00B42B34">
        <w:rPr>
          <w:rFonts w:ascii="Times New Roman" w:hAnsi="Times New Roman" w:cs="Times New Roman"/>
          <w:b/>
          <w:color w:val="000000"/>
          <w:sz w:val="20"/>
          <w:szCs w:val="20"/>
        </w:rPr>
        <w:t>Conditions Which May Disqualify Candidates From Diving (Note: bracketed numbers below are pages from Bove, 1988):</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 Abnormalities of the tympanic membrane, such as perforation, presence of a monomeric membrane, or inability to auto inflate the middle ears. [5 ,7, 8, 9]</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 Vertigo, including Meniere’s Disease. [13]</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3. Stapedectomy or middle ear reconstructive surgery. [11]</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4. Recent ocular surgery. [15, 18, 19]</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5. Psychiatric disorders including claustrophobia, suicidal ideation, psychosis, anxiety states, untreated depression. [20 - 23]</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6. Substance abuse, including alcohol. [24 - 25]</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7. Episodic loss of consciousness. [1, 26, 27]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8. History of seizure. [27, 28]</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9. History of stroke or a fixed neurological deficit. [29, 30]</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10. Recurring neurologic disorders, including transient ischemic attacks. [29, 30]</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11. History of intracranial aneurysm, other vascular malformation or intracranial hemorrhage. [31]</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12. History of neurological decompression illness with residual deficit. [29, 30]</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13. Head injury with sequelae. [26, 27]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14. Hematologic disorders including coagulopathies. [41, 42]</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15. Evidence of coronary artery disease or high risk for coronary artery disease. [33 - 35]</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16. Atrial septal defects. [39]</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17. Significant valvular heart disease - isolated mitral valve prolapse is not disqualifying. [38]</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18. Significant cardiac rhythm or conduction abnormalities. [36 - 37]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19. Implanted cardiac pacemakers and cardiac defibrillators (ICD). [39, 40]</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20. Inadequate exercise tolerance. [34]</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21. Severe hypertension. [35]</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22. History of spontaneous or traumatic pneumothorax. [45]</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23. Asthma. [42 - 44]</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24. Chronic pulmonary disease, including radiographic evidence of pulmonary blebs, bullae, or cysts. [45,46]</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25. Diabetes mellitus. [46 - 47]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26. Pregnancy. [56]</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b/>
          <w:color w:val="000000"/>
          <w:sz w:val="20"/>
          <w:szCs w:val="20"/>
        </w:rPr>
      </w:pPr>
      <w:r w:rsidRPr="00B42B34">
        <w:rPr>
          <w:rFonts w:ascii="Times New Roman" w:hAnsi="Times New Roman" w:cs="Times New Roman"/>
          <w:b/>
          <w:color w:val="000000"/>
          <w:sz w:val="20"/>
          <w:szCs w:val="20"/>
        </w:rPr>
        <w:t>Selected References In Diving Medicine:</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Available from Best Publishing Company, P.O. Box 30100, Flagstaff, AZ 86003-0100, the Divers Alert Network (DAN) or the Undersea and Hyperbaric Medical Society (UHMS), Durham, N.C.</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Bove, A.A. ed. 1998. </w:t>
      </w:r>
      <w:r w:rsidRPr="00B42B34">
        <w:rPr>
          <w:rFonts w:ascii="Times New Roman" w:hAnsi="Times New Roman" w:cs="Times New Roman"/>
          <w:i/>
          <w:color w:val="565252"/>
          <w:sz w:val="20"/>
          <w:szCs w:val="20"/>
        </w:rPr>
        <w:t>Medical Examination Of Sport Scuba Divers</w:t>
      </w:r>
      <w:r w:rsidRPr="00B42B34">
        <w:rPr>
          <w:rFonts w:ascii="Times New Roman" w:hAnsi="Times New Roman" w:cs="Times New Roman"/>
          <w:color w:val="565252"/>
          <w:sz w:val="20"/>
          <w:szCs w:val="20"/>
        </w:rPr>
        <w:t xml:space="preserve">, San Antonio, Tx: Medical Seminars, Inc. </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Bove, A.A., Davis, J.  2003. </w:t>
      </w:r>
      <w:r w:rsidRPr="00B42B34">
        <w:rPr>
          <w:rFonts w:ascii="Times New Roman" w:hAnsi="Times New Roman" w:cs="Times New Roman"/>
          <w:i/>
          <w:color w:val="565252"/>
          <w:sz w:val="20"/>
          <w:szCs w:val="20"/>
        </w:rPr>
        <w:t>Diving Medicine</w:t>
      </w:r>
      <w:r w:rsidRPr="00B42B34">
        <w:rPr>
          <w:rFonts w:ascii="Times New Roman" w:hAnsi="Times New Roman" w:cs="Times New Roman"/>
          <w:color w:val="565252"/>
          <w:sz w:val="20"/>
          <w:szCs w:val="20"/>
        </w:rPr>
        <w:t>, Fourth Edition. Philadelphia: W.B. Saunders Company.</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Bove, A.A. 2011. </w:t>
      </w:r>
      <w:r w:rsidRPr="00B42B34">
        <w:rPr>
          <w:rFonts w:ascii="Times New Roman" w:hAnsi="Times New Roman" w:cs="Times New Roman"/>
          <w:i/>
          <w:color w:val="565252"/>
          <w:sz w:val="20"/>
          <w:szCs w:val="20"/>
        </w:rPr>
        <w:t>The Cardiovascular System and Diving Risk</w:t>
      </w:r>
      <w:r w:rsidRPr="00B42B34">
        <w:rPr>
          <w:rFonts w:ascii="Times New Roman" w:hAnsi="Times New Roman" w:cs="Times New Roman"/>
          <w:color w:val="565252"/>
          <w:sz w:val="20"/>
          <w:szCs w:val="20"/>
        </w:rPr>
        <w:t xml:space="preserve">. </w:t>
      </w:r>
      <w:r w:rsidRPr="00B42B34">
        <w:rPr>
          <w:rFonts w:ascii="Times New Roman" w:hAnsi="Times New Roman" w:cs="Times New Roman"/>
          <w:color w:val="565252"/>
          <w:sz w:val="20"/>
          <w:szCs w:val="20"/>
          <w:u w:val="single"/>
        </w:rPr>
        <w:t>Undersea and Hyperbaric Medicine</w:t>
      </w:r>
      <w:r w:rsidRPr="00B42B34">
        <w:rPr>
          <w:rFonts w:ascii="Times New Roman" w:hAnsi="Times New Roman" w:cs="Times New Roman"/>
          <w:color w:val="565252"/>
          <w:sz w:val="20"/>
          <w:szCs w:val="20"/>
        </w:rPr>
        <w:t xml:space="preserve"> 38(4), 261-269.</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Douglas, P.S., 2011. Cardiovascular screening in asymptomatic adults: Lessons for the diving world. </w:t>
      </w:r>
      <w:r w:rsidRPr="00B42B34">
        <w:rPr>
          <w:rFonts w:ascii="Times New Roman" w:hAnsi="Times New Roman" w:cs="Times New Roman"/>
          <w:color w:val="565252"/>
          <w:sz w:val="20"/>
          <w:szCs w:val="20"/>
          <w:u w:val="single"/>
        </w:rPr>
        <w:t>Undersea and Hyperbaric Medicine</w:t>
      </w:r>
      <w:r w:rsidRPr="00B42B34">
        <w:rPr>
          <w:rFonts w:ascii="Times New Roman" w:hAnsi="Times New Roman" w:cs="Times New Roman"/>
          <w:color w:val="565252"/>
          <w:sz w:val="20"/>
          <w:szCs w:val="20"/>
        </w:rPr>
        <w:t xml:space="preserve"> 38(4), 279-287.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Elliott, D.H. ed. 1996.  </w:t>
      </w:r>
      <w:r w:rsidRPr="00B42B34">
        <w:rPr>
          <w:rFonts w:ascii="Times New Roman" w:hAnsi="Times New Roman" w:cs="Times New Roman"/>
          <w:i/>
          <w:color w:val="565252"/>
          <w:sz w:val="20"/>
          <w:szCs w:val="20"/>
        </w:rPr>
        <w:t>Are Asthmatics Fit to Dive?</w:t>
      </w:r>
      <w:r w:rsidRPr="00B42B34">
        <w:rPr>
          <w:rFonts w:ascii="Times New Roman" w:hAnsi="Times New Roman" w:cs="Times New Roman"/>
          <w:color w:val="565252"/>
          <w:sz w:val="20"/>
          <w:szCs w:val="20"/>
        </w:rPr>
        <w:t xml:space="preserve">  Kensington, MD, Undersea and Hyperbaric Medical Society.</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Edmonds, C., Lowry, C., Pennefather, J., Walker, R. 2002. </w:t>
      </w:r>
      <w:r w:rsidRPr="00B42B34">
        <w:rPr>
          <w:rFonts w:ascii="Times New Roman" w:hAnsi="Times New Roman" w:cs="Times New Roman"/>
          <w:i/>
          <w:color w:val="565252"/>
          <w:sz w:val="20"/>
          <w:szCs w:val="20"/>
        </w:rPr>
        <w:t>Diving and Subaquatic Medicine</w:t>
      </w:r>
      <w:r w:rsidRPr="00B42B34">
        <w:rPr>
          <w:rFonts w:ascii="Times New Roman" w:hAnsi="Times New Roman" w:cs="Times New Roman"/>
          <w:color w:val="565252"/>
          <w:sz w:val="20"/>
          <w:szCs w:val="20"/>
        </w:rPr>
        <w:t>, 4th Edition. London, Hodder Arnold Publishers.</w:t>
      </w:r>
    </w:p>
    <w:p w:rsidR="00B42B34" w:rsidRPr="00B42B34" w:rsidRDefault="00B42B34" w:rsidP="00B42B34">
      <w:pPr>
        <w:rPr>
          <w:rFonts w:ascii="Times New Roman" w:hAnsi="Times New Roman" w:cs="Times New Roman"/>
          <w:color w:val="565252"/>
          <w:sz w:val="20"/>
          <w:szCs w:val="20"/>
          <w:u w:val="single"/>
        </w:rPr>
      </w:pPr>
      <w:r w:rsidRPr="00B42B34">
        <w:rPr>
          <w:rFonts w:ascii="Times New Roman" w:hAnsi="Times New Roman" w:cs="Times New Roman"/>
          <w:color w:val="565252"/>
          <w:sz w:val="20"/>
          <w:szCs w:val="20"/>
        </w:rPr>
        <w:t xml:space="preserve">Grundy, S.M., Pasternak, R., Greenland, P., Smith, S., Fuster, V., 1999. Assessment of Cardiovascular Risk by Use of Multiple-Risk-Factor Assessment Equations. AHA/ACC Scientific Statement. </w:t>
      </w:r>
      <w:r w:rsidRPr="00B42B34">
        <w:rPr>
          <w:rFonts w:ascii="Times New Roman" w:hAnsi="Times New Roman" w:cs="Times New Roman"/>
          <w:i/>
          <w:color w:val="565252"/>
          <w:sz w:val="20"/>
          <w:szCs w:val="20"/>
        </w:rPr>
        <w:t>Journal of the American College of Cardiology,</w:t>
      </w:r>
      <w:r w:rsidRPr="00B42B34">
        <w:rPr>
          <w:rFonts w:ascii="Times New Roman" w:hAnsi="Times New Roman" w:cs="Times New Roman"/>
          <w:color w:val="565252"/>
          <w:sz w:val="20"/>
          <w:szCs w:val="20"/>
        </w:rPr>
        <w:t xml:space="preserve"> 34: 1348-1359.  </w:t>
      </w:r>
      <w:r w:rsidRPr="00B42B34">
        <w:rPr>
          <w:rFonts w:ascii="Times New Roman" w:hAnsi="Times New Roman" w:cs="Times New Roman"/>
          <w:color w:val="565252"/>
          <w:sz w:val="20"/>
          <w:szCs w:val="20"/>
          <w:u w:val="single"/>
        </w:rPr>
        <w:t>http://content.onlinejacc.org/cgi/content/short/34/4/1348</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Mitchell, S.J., Bove, A.A, 2011. Medical screening of recreational divers for cardiovascular disease: Consensus discussion at the Divers Alert Network Fatality Workshop. </w:t>
      </w:r>
      <w:r w:rsidRPr="00B42B34">
        <w:rPr>
          <w:rFonts w:ascii="Times New Roman" w:hAnsi="Times New Roman" w:cs="Times New Roman"/>
          <w:color w:val="565252"/>
          <w:sz w:val="20"/>
          <w:szCs w:val="20"/>
          <w:u w:val="single"/>
        </w:rPr>
        <w:t>Undersea and Hyperbaric Medicine</w:t>
      </w:r>
      <w:r w:rsidRPr="00B42B34">
        <w:rPr>
          <w:rFonts w:ascii="Times New Roman" w:hAnsi="Times New Roman" w:cs="Times New Roman"/>
          <w:color w:val="565252"/>
          <w:sz w:val="20"/>
          <w:szCs w:val="20"/>
        </w:rPr>
        <w:t xml:space="preserve"> 38(4): 289-296.</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NOAA Diving Manual, NOAA. Superintendent of Documents. Washington, DC: U.S. Government Printing Office.</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xml:space="preserve">Thompson, P.D. 2011. The cardiovascular risks of diving. </w:t>
      </w:r>
      <w:r w:rsidRPr="00B42B34">
        <w:rPr>
          <w:rFonts w:ascii="Times New Roman" w:hAnsi="Times New Roman" w:cs="Times New Roman"/>
          <w:color w:val="565252"/>
          <w:sz w:val="20"/>
          <w:szCs w:val="20"/>
          <w:u w:val="single"/>
        </w:rPr>
        <w:t>Undersea and Hyperbaric Medicine</w:t>
      </w:r>
      <w:r w:rsidRPr="00B42B34">
        <w:rPr>
          <w:rFonts w:ascii="Times New Roman" w:hAnsi="Times New Roman" w:cs="Times New Roman"/>
          <w:color w:val="565252"/>
          <w:sz w:val="20"/>
          <w:szCs w:val="20"/>
        </w:rPr>
        <w:t xml:space="preserve"> 38(4): 271-277.</w:t>
      </w: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U.S. NAVY DIVING MANUAL. Superintendent of Documents, Washington, DC: U.S. Government Printing Office, Washington, D.C.</w:t>
      </w:r>
    </w:p>
    <w:p w:rsidR="00B42B34" w:rsidRPr="00B42B34" w:rsidRDefault="00B42B34" w:rsidP="00B42B34">
      <w:pPr>
        <w:rPr>
          <w:rFonts w:ascii="Times New Roman" w:hAnsi="Times New Roman" w:cs="Times New Roman"/>
          <w:color w:val="565252"/>
          <w:sz w:val="20"/>
          <w:szCs w:val="20"/>
        </w:rPr>
      </w:pPr>
    </w:p>
    <w:p w:rsidR="00B42B34" w:rsidRPr="00B42B34" w:rsidRDefault="00B42B34" w:rsidP="00B42B34">
      <w:pPr>
        <w:rPr>
          <w:rFonts w:ascii="Times New Roman" w:hAnsi="Times New Roman" w:cs="Times New Roman"/>
          <w:color w:val="565252"/>
          <w:sz w:val="20"/>
          <w:szCs w:val="20"/>
        </w:rPr>
      </w:pPr>
      <w:r w:rsidRPr="00B42B34">
        <w:rPr>
          <w:rFonts w:ascii="Times New Roman" w:hAnsi="Times New Roman" w:cs="Times New Roman"/>
          <w:color w:val="565252"/>
          <w:sz w:val="20"/>
          <w:szCs w:val="20"/>
        </w:rPr>
        <w:t> </w:t>
      </w:r>
    </w:p>
    <w:p w:rsidR="009114EA" w:rsidRPr="00B42B34" w:rsidRDefault="009114EA">
      <w:pPr>
        <w:rPr>
          <w:rFonts w:ascii="Times New Roman" w:hAnsi="Times New Roman" w:cs="Times New Roman"/>
          <w:sz w:val="20"/>
          <w:szCs w:val="20"/>
        </w:rPr>
      </w:pPr>
      <w:bookmarkStart w:id="0" w:name="_GoBack"/>
      <w:bookmarkEnd w:id="0"/>
    </w:p>
    <w:sectPr w:rsidR="009114EA" w:rsidRPr="00B42B34" w:rsidSect="00B42B34">
      <w:footerReference w:type="even" r:id="rId7"/>
      <w:footerReference w:type="default" r:id="rId8"/>
      <w:pgSz w:w="12240" w:h="15840"/>
      <w:pgMar w:top="1440" w:right="1008" w:bottom="1440" w:left="1008" w:header="720" w:footer="720" w:gutter="0"/>
      <w:pgNumType w:start="59"/>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34" w:rsidRDefault="00B42B34" w:rsidP="00B42B34">
      <w:r>
        <w:separator/>
      </w:r>
    </w:p>
  </w:endnote>
  <w:endnote w:type="continuationSeparator" w:id="0">
    <w:p w:rsidR="00B42B34" w:rsidRDefault="00B42B34" w:rsidP="00B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34" w:rsidRDefault="00B42B34" w:rsidP="0077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2B34" w:rsidRDefault="00B42B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B34" w:rsidRPr="00B42B34" w:rsidRDefault="00B42B34" w:rsidP="0077627D">
    <w:pPr>
      <w:pStyle w:val="Footer"/>
      <w:framePr w:wrap="around" w:vAnchor="text" w:hAnchor="margin" w:xAlign="center" w:y="1"/>
      <w:rPr>
        <w:rStyle w:val="PageNumber"/>
        <w:rFonts w:ascii="Times New Roman" w:hAnsi="Times New Roman" w:cs="Times New Roman"/>
        <w:sz w:val="20"/>
        <w:szCs w:val="20"/>
      </w:rPr>
    </w:pPr>
    <w:r w:rsidRPr="00B42B34">
      <w:rPr>
        <w:rStyle w:val="PageNumber"/>
        <w:rFonts w:ascii="Times New Roman" w:hAnsi="Times New Roman" w:cs="Times New Roman"/>
        <w:sz w:val="20"/>
        <w:szCs w:val="20"/>
      </w:rPr>
      <w:fldChar w:fldCharType="begin"/>
    </w:r>
    <w:r w:rsidRPr="00B42B34">
      <w:rPr>
        <w:rStyle w:val="PageNumber"/>
        <w:rFonts w:ascii="Times New Roman" w:hAnsi="Times New Roman" w:cs="Times New Roman"/>
        <w:sz w:val="20"/>
        <w:szCs w:val="20"/>
      </w:rPr>
      <w:instrText xml:space="preserve">PAGE  </w:instrText>
    </w:r>
    <w:r w:rsidRPr="00B42B34">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59</w:t>
    </w:r>
    <w:r w:rsidRPr="00B42B34">
      <w:rPr>
        <w:rStyle w:val="PageNumber"/>
        <w:rFonts w:ascii="Times New Roman" w:hAnsi="Times New Roman" w:cs="Times New Roman"/>
        <w:sz w:val="20"/>
        <w:szCs w:val="20"/>
      </w:rPr>
      <w:fldChar w:fldCharType="end"/>
    </w:r>
  </w:p>
  <w:p w:rsidR="00B42B34" w:rsidRDefault="00B42B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34" w:rsidRDefault="00B42B34" w:rsidP="00B42B34">
      <w:r>
        <w:separator/>
      </w:r>
    </w:p>
  </w:footnote>
  <w:footnote w:type="continuationSeparator" w:id="0">
    <w:p w:rsidR="00B42B34" w:rsidRDefault="00B42B34" w:rsidP="00B42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34"/>
    <w:rsid w:val="0049659B"/>
    <w:rsid w:val="005713B8"/>
    <w:rsid w:val="009114EA"/>
    <w:rsid w:val="00B42B34"/>
    <w:rsid w:val="00B94838"/>
    <w:rsid w:val="00C2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09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34"/>
    <w:rPr>
      <w:lang w:eastAsia="ja-JP"/>
    </w:rPr>
  </w:style>
  <w:style w:type="paragraph" w:styleId="Heading1">
    <w:name w:val="heading 1"/>
    <w:basedOn w:val="Normal"/>
    <w:next w:val="Normal"/>
    <w:link w:val="Heading1Char"/>
    <w:autoRedefine/>
    <w:uiPriority w:val="9"/>
    <w:qFormat/>
    <w:rsid w:val="005713B8"/>
    <w:pPr>
      <w:keepNext/>
      <w:keepLines/>
      <w:spacing w:before="480"/>
      <w:outlineLvl w:val="0"/>
    </w:pPr>
    <w:rPr>
      <w:rFonts w:ascii="Times New Roman" w:eastAsiaTheme="majorEastAsia" w:hAnsi="Times New Roman" w:cstheme="majorBidi"/>
      <w:b/>
      <w:bCs/>
      <w:color w:val="000000" w:themeColor="text1"/>
      <w:sz w:val="20"/>
      <w:szCs w:val="32"/>
      <w:lang w:eastAsia="en-US"/>
    </w:rPr>
  </w:style>
  <w:style w:type="paragraph" w:styleId="Heading2">
    <w:name w:val="heading 2"/>
    <w:basedOn w:val="Normal"/>
    <w:next w:val="Normal"/>
    <w:link w:val="Heading2Char"/>
    <w:autoRedefine/>
    <w:uiPriority w:val="9"/>
    <w:semiHidden/>
    <w:unhideWhenUsed/>
    <w:qFormat/>
    <w:rsid w:val="005713B8"/>
    <w:pPr>
      <w:keepNext/>
      <w:keepLines/>
      <w:spacing w:before="200"/>
      <w:outlineLvl w:val="1"/>
    </w:pPr>
    <w:rPr>
      <w:rFonts w:ascii="Times New Roman" w:eastAsiaTheme="majorEastAsia" w:hAnsi="Times New Roman" w:cstheme="majorBidi"/>
      <w:b/>
      <w:bCs/>
      <w:i/>
      <w:color w:val="000000" w:themeColor="text1"/>
      <w:sz w:val="22"/>
      <w:szCs w:val="26"/>
      <w:lang w:eastAsia="en-US"/>
    </w:rPr>
  </w:style>
  <w:style w:type="paragraph" w:styleId="Heading3">
    <w:name w:val="heading 3"/>
    <w:basedOn w:val="Normal"/>
    <w:next w:val="Normal"/>
    <w:link w:val="Heading3Char"/>
    <w:autoRedefine/>
    <w:uiPriority w:val="9"/>
    <w:unhideWhenUsed/>
    <w:qFormat/>
    <w:rsid w:val="005713B8"/>
    <w:pPr>
      <w:keepNext/>
      <w:keepLines/>
      <w:spacing w:before="200"/>
      <w:outlineLvl w:val="2"/>
    </w:pPr>
    <w:rPr>
      <w:rFonts w:ascii="Times New Roman" w:eastAsiaTheme="majorEastAsia" w:hAnsi="Times New Roman" w:cstheme="majorBidi"/>
      <w:bCs/>
      <w:i/>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B8"/>
    <w:rPr>
      <w:rFonts w:ascii="Times New Roman" w:eastAsiaTheme="majorEastAsia" w:hAnsi="Times New Roman" w:cstheme="majorBidi"/>
      <w:b/>
      <w:bCs/>
      <w:color w:val="000000" w:themeColor="text1"/>
      <w:szCs w:val="32"/>
    </w:rPr>
  </w:style>
  <w:style w:type="paragraph" w:styleId="TOCHeading">
    <w:name w:val="TOC Heading"/>
    <w:basedOn w:val="Heading1"/>
    <w:next w:val="Normal"/>
    <w:autoRedefine/>
    <w:uiPriority w:val="39"/>
    <w:unhideWhenUsed/>
    <w:qFormat/>
    <w:rsid w:val="00C2025D"/>
    <w:pPr>
      <w:spacing w:before="240" w:line="259" w:lineRule="auto"/>
      <w:jc w:val="center"/>
      <w:outlineLvl w:val="9"/>
    </w:pPr>
    <w:rPr>
      <w:rFonts w:eastAsia="Times New Roman" w:cs="Times New Roman"/>
      <w:bCs w:val="0"/>
      <w:color w:val="auto"/>
    </w:rPr>
  </w:style>
  <w:style w:type="paragraph" w:styleId="TOC1">
    <w:name w:val="toc 1"/>
    <w:basedOn w:val="Normal"/>
    <w:next w:val="Normal"/>
    <w:autoRedefine/>
    <w:uiPriority w:val="39"/>
    <w:unhideWhenUsed/>
    <w:qFormat/>
    <w:rsid w:val="005713B8"/>
    <w:pPr>
      <w:tabs>
        <w:tab w:val="right" w:leader="dot" w:pos="10214"/>
      </w:tabs>
      <w:spacing w:before="120"/>
    </w:pPr>
    <w:rPr>
      <w:rFonts w:ascii="Times New Roman" w:hAnsi="Times New Roman"/>
      <w:b/>
      <w:noProof/>
      <w:color w:val="404040"/>
      <w:sz w:val="22"/>
      <w:lang w:eastAsia="en-US"/>
    </w:rPr>
  </w:style>
  <w:style w:type="paragraph" w:styleId="TOC2">
    <w:name w:val="toc 2"/>
    <w:basedOn w:val="Normal"/>
    <w:next w:val="Normal"/>
    <w:autoRedefine/>
    <w:uiPriority w:val="39"/>
    <w:unhideWhenUsed/>
    <w:qFormat/>
    <w:rsid w:val="005713B8"/>
    <w:pPr>
      <w:ind w:left="240"/>
    </w:pPr>
    <w:rPr>
      <w:rFonts w:ascii="Times New Roman" w:hAnsi="Times New Roman"/>
      <w:b/>
      <w:color w:val="404040"/>
      <w:sz w:val="18"/>
      <w:szCs w:val="22"/>
      <w:lang w:eastAsia="en-US"/>
    </w:rPr>
  </w:style>
  <w:style w:type="paragraph" w:styleId="TOC4">
    <w:name w:val="toc 4"/>
    <w:basedOn w:val="Normal"/>
    <w:next w:val="Normal"/>
    <w:autoRedefine/>
    <w:uiPriority w:val="39"/>
    <w:unhideWhenUsed/>
    <w:qFormat/>
    <w:rsid w:val="00C2025D"/>
    <w:pPr>
      <w:widowControl w:val="0"/>
      <w:autoSpaceDE w:val="0"/>
      <w:autoSpaceDN w:val="0"/>
      <w:adjustRightInd w:val="0"/>
      <w:ind w:left="720"/>
    </w:pPr>
    <w:rPr>
      <w:rFonts w:ascii="Times New Roman" w:eastAsia="Times New Roman" w:hAnsi="Times New Roman" w:cs="Times New Roman"/>
      <w:color w:val="404040"/>
      <w:sz w:val="20"/>
      <w:szCs w:val="20"/>
      <w:lang w:eastAsia="en-US"/>
    </w:rPr>
  </w:style>
  <w:style w:type="paragraph" w:styleId="TOC3">
    <w:name w:val="toc 3"/>
    <w:basedOn w:val="Normal"/>
    <w:next w:val="Normal"/>
    <w:autoRedefine/>
    <w:uiPriority w:val="39"/>
    <w:unhideWhenUsed/>
    <w:qFormat/>
    <w:rsid w:val="00C2025D"/>
    <w:pPr>
      <w:widowControl w:val="0"/>
      <w:autoSpaceDE w:val="0"/>
      <w:autoSpaceDN w:val="0"/>
      <w:adjustRightInd w:val="0"/>
      <w:ind w:left="480"/>
    </w:pPr>
    <w:rPr>
      <w:rFonts w:ascii="Times New Roman" w:eastAsia="Times New Roman" w:hAnsi="Times New Roman" w:cs="Times New Roman"/>
      <w:color w:val="404040"/>
      <w:sz w:val="20"/>
      <w:szCs w:val="22"/>
      <w:lang w:eastAsia="en-US"/>
    </w:rPr>
  </w:style>
  <w:style w:type="character" w:customStyle="1" w:styleId="Heading2Char">
    <w:name w:val="Heading 2 Char"/>
    <w:basedOn w:val="DefaultParagraphFont"/>
    <w:link w:val="Heading2"/>
    <w:uiPriority w:val="9"/>
    <w:semiHidden/>
    <w:rsid w:val="005713B8"/>
    <w:rPr>
      <w:rFonts w:ascii="Times New Roman" w:eastAsiaTheme="majorEastAsia" w:hAnsi="Times New Roman" w:cstheme="majorBidi"/>
      <w:b/>
      <w:bCs/>
      <w:i/>
      <w:color w:val="000000" w:themeColor="text1"/>
      <w:sz w:val="22"/>
      <w:szCs w:val="26"/>
    </w:rPr>
  </w:style>
  <w:style w:type="character" w:customStyle="1" w:styleId="Heading3Char">
    <w:name w:val="Heading 3 Char"/>
    <w:basedOn w:val="DefaultParagraphFont"/>
    <w:link w:val="Heading3"/>
    <w:uiPriority w:val="9"/>
    <w:rsid w:val="005713B8"/>
    <w:rPr>
      <w:rFonts w:ascii="Times New Roman" w:eastAsiaTheme="majorEastAsia" w:hAnsi="Times New Roman" w:cstheme="majorBidi"/>
      <w:bCs/>
      <w:i/>
      <w:sz w:val="20"/>
    </w:rPr>
  </w:style>
  <w:style w:type="paragraph" w:styleId="Footer">
    <w:name w:val="footer"/>
    <w:basedOn w:val="Normal"/>
    <w:link w:val="FooterChar"/>
    <w:uiPriority w:val="99"/>
    <w:unhideWhenUsed/>
    <w:rsid w:val="00B42B34"/>
    <w:pPr>
      <w:tabs>
        <w:tab w:val="center" w:pos="4320"/>
        <w:tab w:val="right" w:pos="8640"/>
      </w:tabs>
    </w:pPr>
  </w:style>
  <w:style w:type="character" w:customStyle="1" w:styleId="FooterChar">
    <w:name w:val="Footer Char"/>
    <w:basedOn w:val="DefaultParagraphFont"/>
    <w:link w:val="Footer"/>
    <w:uiPriority w:val="99"/>
    <w:rsid w:val="00B42B34"/>
    <w:rPr>
      <w:lang w:eastAsia="ja-JP"/>
    </w:rPr>
  </w:style>
  <w:style w:type="character" w:styleId="PageNumber">
    <w:name w:val="page number"/>
    <w:basedOn w:val="DefaultParagraphFont"/>
    <w:uiPriority w:val="99"/>
    <w:semiHidden/>
    <w:unhideWhenUsed/>
    <w:rsid w:val="00B42B34"/>
  </w:style>
  <w:style w:type="paragraph" w:styleId="Header">
    <w:name w:val="header"/>
    <w:basedOn w:val="Normal"/>
    <w:link w:val="HeaderChar"/>
    <w:uiPriority w:val="99"/>
    <w:unhideWhenUsed/>
    <w:rsid w:val="00B42B34"/>
    <w:pPr>
      <w:tabs>
        <w:tab w:val="center" w:pos="4320"/>
        <w:tab w:val="right" w:pos="8640"/>
      </w:tabs>
    </w:pPr>
  </w:style>
  <w:style w:type="character" w:customStyle="1" w:styleId="HeaderChar">
    <w:name w:val="Header Char"/>
    <w:basedOn w:val="DefaultParagraphFont"/>
    <w:link w:val="Header"/>
    <w:uiPriority w:val="99"/>
    <w:rsid w:val="00B42B34"/>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4486</Characters>
  <Application>Microsoft Macintosh Word</Application>
  <DocSecurity>0</DocSecurity>
  <Lines>37</Lines>
  <Paragraphs>10</Paragraphs>
  <ScaleCrop>false</ScaleCrop>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Anarchy99</dc:creator>
  <cp:keywords/>
  <dc:description/>
  <cp:lastModifiedBy>Anarchy99</cp:lastModifiedBy>
  <cp:revision>1</cp:revision>
  <dcterms:created xsi:type="dcterms:W3CDTF">2018-08-21T15:20:00Z</dcterms:created>
  <dcterms:modified xsi:type="dcterms:W3CDTF">2018-08-21T15:21:00Z</dcterms:modified>
</cp:coreProperties>
</file>